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FFB" w:rsidRDefault="009D4BC7">
      <w:pPr>
        <w:pStyle w:val="BodyA"/>
      </w:pPr>
      <w:bookmarkStart w:id="0" w:name="_GoBack"/>
      <w:bookmarkEnd w:id="0"/>
      <w:r>
        <w:t>Eli Edwards</w:t>
      </w:r>
    </w:p>
    <w:p w:rsidR="006A2FFB" w:rsidRDefault="009D4BC7">
      <w:pPr>
        <w:pStyle w:val="BodyA"/>
      </w:pPr>
      <w:r>
        <w:t>Santa Clara University School of Law</w:t>
      </w:r>
    </w:p>
    <w:p w:rsidR="006A2FFB" w:rsidRDefault="009D4BC7">
      <w:pPr>
        <w:pStyle w:val="BodyA"/>
      </w:pPr>
      <w:proofErr w:type="spellStart"/>
      <w:r>
        <w:t>Blockchain</w:t>
      </w:r>
      <w:proofErr w:type="spellEnd"/>
      <w:r>
        <w:t xml:space="preserve"> National Forum</w:t>
      </w:r>
    </w:p>
    <w:p w:rsidR="006A2FFB" w:rsidRDefault="009D4BC7">
      <w:pPr>
        <w:pStyle w:val="BodyA"/>
      </w:pPr>
      <w:r>
        <w:t>San Jose, CA</w:t>
      </w:r>
    </w:p>
    <w:p w:rsidR="006A2FFB" w:rsidRDefault="009D4BC7">
      <w:pPr>
        <w:pStyle w:val="BodyA"/>
      </w:pPr>
      <w:r>
        <w:t>August 6, 2018</w:t>
      </w:r>
    </w:p>
    <w:p w:rsidR="006A2FFB" w:rsidRDefault="006A2FFB">
      <w:pPr>
        <w:pStyle w:val="BodyA"/>
      </w:pPr>
    </w:p>
    <w:p w:rsidR="006A2FFB" w:rsidRDefault="009D4BC7">
      <w:pPr>
        <w:pStyle w:val="BodyA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Summary: </w:t>
      </w:r>
      <w:proofErr w:type="spellStart"/>
      <w:r>
        <w:rPr>
          <w:b/>
          <w:bCs/>
          <w:sz w:val="24"/>
          <w:szCs w:val="24"/>
        </w:rPr>
        <w:t>Blockchain</w:t>
      </w:r>
      <w:proofErr w:type="spellEnd"/>
      <w:r>
        <w:rPr>
          <w:b/>
          <w:bCs/>
          <w:sz w:val="24"/>
          <w:szCs w:val="24"/>
        </w:rPr>
        <w:t xml:space="preserve"> and Orphan Works: </w:t>
      </w:r>
    </w:p>
    <w:p w:rsidR="006A2FFB" w:rsidRDefault="009D4BC7">
      <w:pPr>
        <w:pStyle w:val="BodyA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Creating a distributed voluntary registry of orphan works searches </w:t>
      </w:r>
    </w:p>
    <w:p w:rsidR="006A2FFB" w:rsidRDefault="009D4BC7">
      <w:pPr>
        <w:pStyle w:val="BodyA"/>
        <w:spacing w:line="48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clearances using a </w:t>
      </w:r>
      <w:proofErr w:type="spellStart"/>
      <w:r>
        <w:rPr>
          <w:b/>
          <w:bCs/>
          <w:sz w:val="24"/>
          <w:szCs w:val="24"/>
        </w:rPr>
        <w:t>blockchain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maintained by libraries</w:t>
      </w:r>
    </w:p>
    <w:p w:rsidR="006A2FFB" w:rsidRDefault="009D4BC7">
      <w:pPr>
        <w:pStyle w:val="Body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  <w:u w:val="single"/>
        </w:rPr>
        <w:t>Application</w:t>
      </w:r>
    </w:p>
    <w:p w:rsidR="006A2FFB" w:rsidRDefault="009D4BC7">
      <w:pPr>
        <w:pStyle w:val="BodyA"/>
        <w:spacing w:line="480" w:lineRule="auto"/>
        <w:rPr>
          <w:rStyle w:val="None"/>
          <w:sz w:val="24"/>
          <w:szCs w:val="24"/>
        </w:rPr>
      </w:pPr>
      <w:r>
        <w:rPr>
          <w:sz w:val="24"/>
          <w:szCs w:val="24"/>
        </w:rPr>
        <w:tab/>
        <w:t xml:space="preserve">There has been a tremendous amount of fervor over the use of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>, 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pecially in the area of </w:t>
      </w:r>
      <w:proofErr w:type="spellStart"/>
      <w:r>
        <w:rPr>
          <w:sz w:val="24"/>
          <w:szCs w:val="24"/>
        </w:rPr>
        <w:t>cryptocurrency</w:t>
      </w:r>
      <w:proofErr w:type="spellEnd"/>
      <w:r>
        <w:rPr>
          <w:sz w:val="24"/>
          <w:szCs w:val="24"/>
        </w:rPr>
        <w:t xml:space="preserve">. Other uses are coming to the fore: using </w:t>
      </w:r>
      <w:proofErr w:type="spellStart"/>
      <w:r>
        <w:rPr>
          <w:sz w:val="24"/>
          <w:szCs w:val="24"/>
        </w:rPr>
        <w:t>bloc</w:t>
      </w:r>
      <w:r>
        <w:rPr>
          <w:sz w:val="24"/>
          <w:szCs w:val="24"/>
        </w:rPr>
        <w:t>k</w:t>
      </w:r>
      <w:r>
        <w:rPr>
          <w:sz w:val="24"/>
          <w:szCs w:val="24"/>
        </w:rPr>
        <w:t>chain</w:t>
      </w:r>
      <w:proofErr w:type="spellEnd"/>
      <w:r>
        <w:rPr>
          <w:sz w:val="24"/>
          <w:szCs w:val="24"/>
        </w:rPr>
        <w:t xml:space="preserve"> (AKA distributed ledger technology) for self-exec</w:t>
      </w:r>
      <w:r>
        <w:rPr>
          <w:sz w:val="24"/>
          <w:szCs w:val="24"/>
        </w:rPr>
        <w:t xml:space="preserve">uting contracts, as a registry for land titles, tracking digital artworks and their sales/license fees. Much of the emphasis on use of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for intellectual property use is predicated on creator/rights-owner control and licensing of their </w:t>
      </w:r>
      <w:proofErr w:type="spellStart"/>
      <w:proofErr w:type="gramStart"/>
      <w:r>
        <w:rPr>
          <w:sz w:val="24"/>
          <w:szCs w:val="24"/>
        </w:rPr>
        <w:t>works.This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 perfectly valid use for the technology, but there has not been the same level of scrutiny of how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may be used to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mote fair use and the public domain.</w:t>
      </w:r>
      <w:r>
        <w:rPr>
          <w:sz w:val="24"/>
          <w:szCs w:val="24"/>
          <w:vertAlign w:val="superscript"/>
        </w:rPr>
        <w:footnoteReference w:id="2"/>
      </w:r>
    </w:p>
    <w:p w:rsidR="006A2FFB" w:rsidRDefault="009D4BC7">
      <w:pPr>
        <w:pStyle w:val="Body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In 2017, </w:t>
      </w:r>
      <w:r>
        <w:rPr>
          <w:rStyle w:val="None"/>
          <w:sz w:val="24"/>
          <w:szCs w:val="24"/>
          <w:lang w:val="de-DE"/>
        </w:rPr>
        <w:t xml:space="preserve">Jake </w:t>
      </w:r>
      <w:proofErr w:type="spellStart"/>
      <w:r>
        <w:rPr>
          <w:rStyle w:val="None"/>
          <w:sz w:val="24"/>
          <w:szCs w:val="24"/>
          <w:lang w:val="de-DE"/>
        </w:rPr>
        <w:t>Goldenfein</w:t>
      </w:r>
      <w:proofErr w:type="spellEnd"/>
      <w:r>
        <w:rPr>
          <w:rStyle w:val="None"/>
          <w:sz w:val="24"/>
          <w:szCs w:val="24"/>
        </w:rPr>
        <w:t xml:space="preserve">, Lecturer in Law, and Prof. </w:t>
      </w:r>
      <w:r>
        <w:rPr>
          <w:rStyle w:val="None"/>
          <w:sz w:val="24"/>
          <w:szCs w:val="24"/>
          <w:lang w:val="nl-NL"/>
        </w:rPr>
        <w:t xml:space="preserve">Dan </w:t>
      </w:r>
      <w:proofErr w:type="spellStart"/>
      <w:r>
        <w:rPr>
          <w:rStyle w:val="None"/>
          <w:sz w:val="24"/>
          <w:szCs w:val="24"/>
          <w:lang w:val="nl-NL"/>
        </w:rPr>
        <w:t>Hunte</w:t>
      </w:r>
      <w:proofErr w:type="spellEnd"/>
      <w:r>
        <w:rPr>
          <w:rStyle w:val="None"/>
          <w:sz w:val="24"/>
          <w:szCs w:val="24"/>
        </w:rPr>
        <w:t>r, both of Swi</w:t>
      </w:r>
      <w:r>
        <w:rPr>
          <w:rStyle w:val="None"/>
          <w:sz w:val="24"/>
          <w:szCs w:val="24"/>
        </w:rPr>
        <w:t>n</w:t>
      </w:r>
      <w:r>
        <w:rPr>
          <w:rStyle w:val="None"/>
          <w:sz w:val="24"/>
          <w:szCs w:val="24"/>
        </w:rPr>
        <w:t>burne Law</w:t>
      </w:r>
      <w:r>
        <w:rPr>
          <w:rStyle w:val="None"/>
          <w:sz w:val="24"/>
          <w:szCs w:val="24"/>
        </w:rPr>
        <w:t xml:space="preserve"> School, Australia, proposed using </w:t>
      </w:r>
      <w:proofErr w:type="spellStart"/>
      <w:r>
        <w:rPr>
          <w:rStyle w:val="None"/>
          <w:sz w:val="24"/>
          <w:szCs w:val="24"/>
        </w:rPr>
        <w:t>blockchain</w:t>
      </w:r>
      <w:proofErr w:type="spellEnd"/>
      <w:r>
        <w:rPr>
          <w:rStyle w:val="None"/>
          <w:sz w:val="24"/>
          <w:szCs w:val="24"/>
        </w:rPr>
        <w:t xml:space="preserve"> and automated tools to au</w:t>
      </w:r>
      <w:r>
        <w:rPr>
          <w:rStyle w:val="None"/>
          <w:sz w:val="24"/>
          <w:szCs w:val="24"/>
        </w:rPr>
        <w:t>g</w:t>
      </w:r>
      <w:r>
        <w:rPr>
          <w:rStyle w:val="None"/>
          <w:sz w:val="24"/>
          <w:szCs w:val="24"/>
        </w:rPr>
        <w:t>ment and expand current orphan work registries in Europe.</w:t>
      </w:r>
      <w:r>
        <w:rPr>
          <w:rStyle w:val="None"/>
          <w:sz w:val="24"/>
          <w:szCs w:val="24"/>
          <w:vertAlign w:val="superscript"/>
        </w:rPr>
        <w:footnoteReference w:id="3"/>
      </w:r>
      <w:r>
        <w:rPr>
          <w:rStyle w:val="None"/>
          <w:sz w:val="24"/>
          <w:szCs w:val="24"/>
        </w:rPr>
        <w:t xml:space="preserve"> I believe that such an a</w:t>
      </w:r>
      <w:r>
        <w:rPr>
          <w:rStyle w:val="None"/>
          <w:sz w:val="24"/>
          <w:szCs w:val="24"/>
        </w:rPr>
        <w:t>p</w:t>
      </w:r>
      <w:r>
        <w:rPr>
          <w:rStyle w:val="None"/>
          <w:sz w:val="24"/>
          <w:szCs w:val="24"/>
        </w:rPr>
        <w:t xml:space="preserve">proach can and should be adopted for American works, and led by American libraries. </w:t>
      </w:r>
      <w:r>
        <w:rPr>
          <w:rStyle w:val="None"/>
          <w:sz w:val="24"/>
          <w:szCs w:val="24"/>
        </w:rPr>
        <w:lastRenderedPageBreak/>
        <w:t>A voluntary regi</w:t>
      </w:r>
      <w:r>
        <w:rPr>
          <w:rStyle w:val="None"/>
          <w:sz w:val="24"/>
          <w:szCs w:val="24"/>
        </w:rPr>
        <w:t>stry of searches for potential orphan works will not solve the problem. But the benefits of having such a registry include easy access by interested parties, as well as contributions and review by a range of for-profit and non-profit stakeholders able to t</w:t>
      </w:r>
      <w:r>
        <w:rPr>
          <w:rStyle w:val="None"/>
          <w:sz w:val="24"/>
          <w:szCs w:val="24"/>
        </w:rPr>
        <w:t xml:space="preserve">rack chains of searches and even resolve clearance questions for a work or set of works. There are significant drawbacks, such as how to incentivize using the </w:t>
      </w:r>
      <w:proofErr w:type="spellStart"/>
      <w:r>
        <w:rPr>
          <w:rStyle w:val="None"/>
          <w:sz w:val="24"/>
          <w:szCs w:val="24"/>
        </w:rPr>
        <w:t>bloc</w:t>
      </w:r>
      <w:r>
        <w:rPr>
          <w:rStyle w:val="None"/>
          <w:sz w:val="24"/>
          <w:szCs w:val="24"/>
        </w:rPr>
        <w:t>k</w:t>
      </w:r>
      <w:r>
        <w:rPr>
          <w:rStyle w:val="None"/>
          <w:sz w:val="24"/>
          <w:szCs w:val="24"/>
        </w:rPr>
        <w:t>chain</w:t>
      </w:r>
      <w:proofErr w:type="spellEnd"/>
      <w:r>
        <w:rPr>
          <w:rStyle w:val="None"/>
          <w:sz w:val="24"/>
          <w:szCs w:val="24"/>
        </w:rPr>
        <w:t xml:space="preserve"> and how to prevent manipulation of the chain.</w:t>
      </w:r>
      <w:r>
        <w:rPr>
          <w:rStyle w:val="None"/>
          <w:sz w:val="24"/>
          <w:szCs w:val="24"/>
          <w:vertAlign w:val="superscript"/>
        </w:rPr>
        <w:footnoteReference w:id="4"/>
      </w:r>
      <w:r>
        <w:rPr>
          <w:rStyle w:val="None"/>
          <w:sz w:val="24"/>
          <w:szCs w:val="24"/>
        </w:rPr>
        <w:t xml:space="preserve"> But given the regulatory and le</w:t>
      </w:r>
      <w:r>
        <w:rPr>
          <w:rStyle w:val="None"/>
          <w:sz w:val="24"/>
          <w:szCs w:val="24"/>
        </w:rPr>
        <w:t>g</w:t>
      </w:r>
      <w:r>
        <w:rPr>
          <w:rStyle w:val="None"/>
          <w:sz w:val="24"/>
          <w:szCs w:val="24"/>
        </w:rPr>
        <w:t>i</w:t>
      </w:r>
      <w:r>
        <w:rPr>
          <w:rStyle w:val="None"/>
          <w:sz w:val="24"/>
          <w:szCs w:val="24"/>
        </w:rPr>
        <w:t>s</w:t>
      </w:r>
      <w:r>
        <w:rPr>
          <w:rStyle w:val="None"/>
          <w:sz w:val="24"/>
          <w:szCs w:val="24"/>
        </w:rPr>
        <w:t>lativ</w:t>
      </w:r>
      <w:r>
        <w:rPr>
          <w:rStyle w:val="None"/>
          <w:sz w:val="24"/>
          <w:szCs w:val="24"/>
        </w:rPr>
        <w:t>e inertia that has blocked attempts to deal with orphan works, encouraging crowdsourcing of orphan works research may be the best, most risk-adverse method of reviving use of these works in our current copyright regime.</w:t>
      </w:r>
      <w:r>
        <w:rPr>
          <w:rStyle w:val="None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line">
                  <wp:posOffset>275658</wp:posOffset>
                </wp:positionV>
                <wp:extent cx="5772360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36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4.0pt;margin-top:21.7pt;width:454.5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6A2FFB" w:rsidRDefault="009D4BC7">
      <w:pPr>
        <w:pStyle w:val="BodyA"/>
        <w:spacing w:line="480" w:lineRule="auto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</w:rPr>
        <w:t xml:space="preserve">II. </w:t>
      </w:r>
      <w:r>
        <w:rPr>
          <w:rStyle w:val="None"/>
          <w:sz w:val="24"/>
          <w:szCs w:val="24"/>
          <w:u w:val="single"/>
        </w:rPr>
        <w:t>Recommendations:</w:t>
      </w:r>
    </w:p>
    <w:p w:rsidR="006A2FFB" w:rsidRDefault="009D4BC7">
      <w:pPr>
        <w:pStyle w:val="Body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Start a pilot </w:t>
      </w:r>
      <w:r>
        <w:rPr>
          <w:sz w:val="24"/>
          <w:szCs w:val="24"/>
        </w:rPr>
        <w:t>program to:</w:t>
      </w:r>
    </w:p>
    <w:p w:rsidR="006A2FFB" w:rsidRDefault="009D4BC7">
      <w:pPr>
        <w:pStyle w:val="BodyA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Investigate the best protocols and framework for an orphan works </w:t>
      </w:r>
      <w:proofErr w:type="spellStart"/>
      <w:r>
        <w:rPr>
          <w:sz w:val="24"/>
          <w:szCs w:val="24"/>
        </w:rPr>
        <w:t>blockchain</w:t>
      </w:r>
      <w:proofErr w:type="spellEnd"/>
    </w:p>
    <w:p w:rsidR="006A2FFB" w:rsidRDefault="009D4BC7">
      <w:pPr>
        <w:pStyle w:val="BodyA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Collaborate with a small but relevant number of stakeholders representing various types of users and intermediaries to develop search and record prototypes</w:t>
      </w:r>
    </w:p>
    <w:p w:rsidR="006A2FFB" w:rsidRDefault="009D4BC7">
      <w:pPr>
        <w:pStyle w:val="BodyA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Release and </w:t>
      </w:r>
      <w:r>
        <w:rPr>
          <w:sz w:val="24"/>
          <w:szCs w:val="24"/>
        </w:rPr>
        <w:t xml:space="preserve">track a minimally viable product (MVP) to demonstrate potential use of a </w:t>
      </w:r>
      <w:proofErr w:type="spellStart"/>
      <w:r>
        <w:rPr>
          <w:sz w:val="24"/>
          <w:szCs w:val="24"/>
        </w:rPr>
        <w:t>blockchain</w:t>
      </w:r>
      <w:proofErr w:type="spellEnd"/>
    </w:p>
    <w:p w:rsidR="006A2FFB" w:rsidRDefault="009D4BC7">
      <w:pPr>
        <w:pStyle w:val="BodyA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Document, analyze and disseminate results</w:t>
      </w:r>
    </w:p>
    <w:p w:rsidR="006A2FFB" w:rsidRDefault="006A2FFB">
      <w:pPr>
        <w:pStyle w:val="BodyA"/>
        <w:spacing w:line="480" w:lineRule="auto"/>
      </w:pPr>
    </w:p>
    <w:sectPr w:rsidR="006A2FF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BC7">
      <w:r>
        <w:separator/>
      </w:r>
    </w:p>
  </w:endnote>
  <w:endnote w:type="continuationSeparator" w:id="0">
    <w:p w:rsidR="00000000" w:rsidRDefault="009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B" w:rsidRDefault="006A2FF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FB" w:rsidRDefault="009D4BC7">
      <w:r>
        <w:separator/>
      </w:r>
    </w:p>
  </w:footnote>
  <w:footnote w:type="continuationSeparator" w:id="0">
    <w:p w:rsidR="006A2FFB" w:rsidRDefault="009D4BC7">
      <w:r>
        <w:continuationSeparator/>
      </w:r>
    </w:p>
  </w:footnote>
  <w:footnote w:type="continuationNotice" w:id="1">
    <w:p w:rsidR="006A2FFB" w:rsidRDefault="006A2FFB"/>
  </w:footnote>
  <w:footnote w:id="2">
    <w:p w:rsidR="006A2FFB" w:rsidRDefault="009D4BC7">
      <w:pPr>
        <w:pStyle w:val="Footnote"/>
      </w:pPr>
      <w:r>
        <w:rPr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For instance, see </w:t>
      </w:r>
      <w:proofErr w:type="spellStart"/>
      <w:r>
        <w:rPr>
          <w:rFonts w:eastAsia="Arial Unicode MS" w:cs="Arial Unicode MS"/>
        </w:rPr>
        <w:t>Riede</w:t>
      </w:r>
      <w:proofErr w:type="spellEnd"/>
      <w:r>
        <w:rPr>
          <w:rFonts w:eastAsia="Arial Unicode MS" w:cs="Arial Unicode MS"/>
        </w:rPr>
        <w:t xml:space="preserve">, Lutz, </w:t>
      </w:r>
      <w:proofErr w:type="gramStart"/>
      <w:r>
        <w:rPr>
          <w:rFonts w:eastAsia="Arial Unicode MS" w:cs="Arial Unicode MS"/>
        </w:rPr>
        <w:t>Digital</w:t>
      </w:r>
      <w:proofErr w:type="gramEnd"/>
      <w:r>
        <w:rPr>
          <w:rFonts w:eastAsia="Arial Unicode MS" w:cs="Arial Unicode MS"/>
        </w:rPr>
        <w:t xml:space="preserve"> Transformation: Managing IP Rights Through the </w:t>
      </w:r>
      <w:proofErr w:type="spellStart"/>
      <w:r>
        <w:rPr>
          <w:rFonts w:eastAsia="Arial Unicode MS" w:cs="Arial Unicode MS"/>
        </w:rPr>
        <w:t>Bloc</w:t>
      </w: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chain</w:t>
      </w:r>
      <w:proofErr w:type="spellEnd"/>
      <w:r>
        <w:rPr>
          <w:rFonts w:eastAsia="Arial Unicode MS" w:cs="Arial Unicode MS"/>
        </w:rPr>
        <w:t xml:space="preserve"> (March 13, 2018). Available at </w:t>
      </w:r>
      <w:proofErr w:type="spellStart"/>
      <w:r>
        <w:rPr>
          <w:rFonts w:eastAsia="Arial Unicode MS" w:cs="Arial Unicode MS"/>
        </w:rPr>
        <w:t>Lexology</w:t>
      </w:r>
      <w:proofErr w:type="spellEnd"/>
      <w:r>
        <w:rPr>
          <w:rFonts w:eastAsia="Arial Unicode MS" w:cs="Arial Unicode MS"/>
        </w:rPr>
        <w:t xml:space="preserve">: </w:t>
      </w:r>
      <w:hyperlink r:id="rId1" w:history="1">
        <w:r>
          <w:rPr>
            <w:rStyle w:val="Hyperlink0"/>
            <w:rFonts w:eastAsia="Arial Unicode MS" w:cs="Arial Unicode MS"/>
          </w:rPr>
          <w:t>https://www.lexology.c</w:t>
        </w:r>
        <w:r>
          <w:rPr>
            <w:rStyle w:val="Hyperlink0"/>
            <w:rFonts w:eastAsia="Arial Unicode MS" w:cs="Arial Unicode MS"/>
          </w:rPr>
          <w:t>om/library/detail.aspx?g=1723d7df-0bb7-46f3-9db0-a9299c36dadc</w:t>
        </w:r>
      </w:hyperlink>
    </w:p>
  </w:footnote>
  <w:footnote w:id="3">
    <w:p w:rsidR="006A2FFB" w:rsidRDefault="009D4BC7">
      <w:pPr>
        <w:pStyle w:val="Footnote"/>
      </w:pPr>
      <w:r>
        <w:rPr>
          <w:rStyle w:val="None"/>
          <w:sz w:val="24"/>
          <w:szCs w:val="24"/>
          <w:vertAlign w:val="superscript"/>
        </w:rPr>
        <w:footnoteRef/>
      </w:r>
      <w:r>
        <w:rPr>
          <w:rStyle w:val="None"/>
          <w:rFonts w:eastAsia="Arial Unicode MS" w:cs="Arial Unicode MS"/>
        </w:rPr>
        <w:t xml:space="preserve"> </w:t>
      </w:r>
      <w:proofErr w:type="spellStart"/>
      <w:r>
        <w:rPr>
          <w:rStyle w:val="None"/>
          <w:rFonts w:eastAsia="Arial Unicode MS" w:cs="Arial Unicode MS"/>
        </w:rPr>
        <w:t>Goldenfein</w:t>
      </w:r>
      <w:proofErr w:type="spellEnd"/>
      <w:r>
        <w:rPr>
          <w:rStyle w:val="None"/>
          <w:rFonts w:eastAsia="Arial Unicode MS" w:cs="Arial Unicode MS"/>
        </w:rPr>
        <w:t xml:space="preserve">, Jake and Hunter, Dan, </w:t>
      </w:r>
      <w:proofErr w:type="spellStart"/>
      <w:r>
        <w:rPr>
          <w:rStyle w:val="None"/>
          <w:rFonts w:eastAsia="Arial Unicode MS" w:cs="Arial Unicode MS"/>
        </w:rPr>
        <w:t>Blockchains</w:t>
      </w:r>
      <w:proofErr w:type="spellEnd"/>
      <w:r>
        <w:rPr>
          <w:rStyle w:val="None"/>
          <w:rFonts w:eastAsia="Arial Unicode MS" w:cs="Arial Unicode MS"/>
        </w:rPr>
        <w:t>, Orphan Works, and the Public Domain (D</w:t>
      </w:r>
      <w:r>
        <w:rPr>
          <w:rStyle w:val="None"/>
          <w:rFonts w:eastAsia="Arial Unicode MS" w:cs="Arial Unicode MS"/>
        </w:rPr>
        <w:t>e</w:t>
      </w:r>
      <w:r>
        <w:rPr>
          <w:rStyle w:val="None"/>
          <w:rFonts w:eastAsia="Arial Unicode MS" w:cs="Arial Unicode MS"/>
        </w:rPr>
        <w:t xml:space="preserve">cember 5, 2017). </w:t>
      </w:r>
      <w:proofErr w:type="gramStart"/>
      <w:r>
        <w:rPr>
          <w:rStyle w:val="None"/>
          <w:rFonts w:eastAsia="Arial Unicode MS" w:cs="Arial Unicode MS"/>
        </w:rPr>
        <w:t>Columbia Journal of Law &amp; the Arts, Vol. 41, No. 1, 2017.</w:t>
      </w:r>
      <w:proofErr w:type="gramEnd"/>
      <w:r>
        <w:rPr>
          <w:rStyle w:val="None"/>
          <w:rFonts w:eastAsia="Arial Unicode MS" w:cs="Arial Unicode MS"/>
        </w:rPr>
        <w:t xml:space="preserve"> Available at SSRN: </w:t>
      </w:r>
      <w:hyperlink r:id="rId2" w:history="1">
        <w:r>
          <w:rPr>
            <w:rStyle w:val="Hyperlink1"/>
            <w:rFonts w:eastAsia="Arial Unicode MS" w:cs="Arial Unicode MS"/>
          </w:rPr>
          <w:t>https://ssrn.com/abstract=3083153</w:t>
        </w:r>
      </w:hyperlink>
      <w:r>
        <w:rPr>
          <w:rFonts w:eastAsia="Arial Unicode MS" w:cs="Arial Unicode MS"/>
        </w:rPr>
        <w:t xml:space="preserve"> </w:t>
      </w:r>
    </w:p>
  </w:footnote>
  <w:footnote w:id="4">
    <w:p w:rsidR="006A2FFB" w:rsidRDefault="009D4BC7">
      <w:pPr>
        <w:pStyle w:val="Footnote"/>
      </w:pPr>
      <w:r>
        <w:rPr>
          <w:rStyle w:val="None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Style w:val="None"/>
          <w:rFonts w:eastAsia="Arial Unicode MS" w:cs="Arial Unicode MS"/>
        </w:rPr>
        <w:t xml:space="preserve">Eden, Terence, </w:t>
      </w:r>
      <w:r>
        <w:rPr>
          <w:rStyle w:val="None"/>
          <w:rFonts w:eastAsia="Arial Unicode MS" w:cs="Arial Unicode MS"/>
        </w:rPr>
        <w:t>“</w:t>
      </w:r>
      <w:r>
        <w:rPr>
          <w:rStyle w:val="None"/>
          <w:rFonts w:eastAsia="Arial Unicode MS" w:cs="Arial Unicode MS"/>
        </w:rPr>
        <w:t xml:space="preserve">How I Became Leonardo da Vinci on the </w:t>
      </w:r>
      <w:proofErr w:type="spellStart"/>
      <w:r>
        <w:rPr>
          <w:rStyle w:val="None"/>
          <w:rFonts w:eastAsia="Arial Unicode MS" w:cs="Arial Unicode MS"/>
        </w:rPr>
        <w:t>Blockchain</w:t>
      </w:r>
      <w:proofErr w:type="spellEnd"/>
      <w:r>
        <w:rPr>
          <w:rStyle w:val="None"/>
          <w:rFonts w:eastAsia="Arial Unicode MS" w:cs="Arial Unicode MS"/>
        </w:rPr>
        <w:t>,</w:t>
      </w:r>
      <w:r>
        <w:rPr>
          <w:rStyle w:val="None"/>
          <w:rFonts w:eastAsia="Arial Unicode MS" w:cs="Arial Unicode MS"/>
        </w:rPr>
        <w:t xml:space="preserve">” </w:t>
      </w:r>
      <w:r>
        <w:rPr>
          <w:rStyle w:val="None"/>
          <w:rFonts w:eastAsia="Arial Unicode MS" w:cs="Arial Unicode MS"/>
        </w:rPr>
        <w:t xml:space="preserve">(June 12, 2018). </w:t>
      </w:r>
      <w:proofErr w:type="gramStart"/>
      <w:r>
        <w:rPr>
          <w:rStyle w:val="None"/>
          <w:rFonts w:eastAsia="Arial Unicode MS" w:cs="Arial Unicode MS"/>
        </w:rPr>
        <w:t>Te</w:t>
      </w:r>
      <w:r>
        <w:rPr>
          <w:rStyle w:val="None"/>
          <w:rFonts w:eastAsia="Arial Unicode MS" w:cs="Arial Unicode MS"/>
        </w:rPr>
        <w:t>r</w:t>
      </w:r>
      <w:r>
        <w:rPr>
          <w:rStyle w:val="None"/>
          <w:rFonts w:eastAsia="Arial Unicode MS" w:cs="Arial Unicode MS"/>
        </w:rPr>
        <w:t>ence Eden</w:t>
      </w:r>
      <w:r>
        <w:rPr>
          <w:rStyle w:val="None"/>
          <w:rFonts w:eastAsia="Arial Unicode MS" w:cs="Arial Unicode MS"/>
        </w:rPr>
        <w:t>’</w:t>
      </w:r>
      <w:r>
        <w:rPr>
          <w:rStyle w:val="None"/>
          <w:rFonts w:eastAsia="Arial Unicode MS" w:cs="Arial Unicode MS"/>
        </w:rPr>
        <w:t>s Blog.</w:t>
      </w:r>
      <w:proofErr w:type="gramEnd"/>
      <w:r>
        <w:rPr>
          <w:rStyle w:val="None"/>
          <w:rFonts w:eastAsia="Arial Unicode MS" w:cs="Arial Unicode MS"/>
        </w:rPr>
        <w:t xml:space="preserve"> Available at: https://shkspr.mobi/blog/2018/06/how-i-became-leonardo-da-vi</w:t>
      </w:r>
      <w:r>
        <w:rPr>
          <w:rStyle w:val="None"/>
          <w:rFonts w:eastAsia="Arial Unicode MS" w:cs="Arial Unicode MS"/>
        </w:rPr>
        <w:t>nci-on-the-blockchain/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B" w:rsidRDefault="006A2FF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EE5"/>
    <w:multiLevelType w:val="hybridMultilevel"/>
    <w:tmpl w:val="34F061A8"/>
    <w:numStyleLink w:val="Bullet"/>
  </w:abstractNum>
  <w:abstractNum w:abstractNumId="1">
    <w:nsid w:val="3C7C2B7D"/>
    <w:multiLevelType w:val="hybridMultilevel"/>
    <w:tmpl w:val="34F061A8"/>
    <w:styleLink w:val="Bullet"/>
    <w:lvl w:ilvl="0" w:tplc="D7C4309C">
      <w:start w:val="1"/>
      <w:numFmt w:val="bullet"/>
      <w:lvlText w:val="•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4237A">
      <w:start w:val="1"/>
      <w:numFmt w:val="bullet"/>
      <w:lvlText w:val="•"/>
      <w:lvlJc w:val="left"/>
      <w:pPr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2B4E">
      <w:start w:val="1"/>
      <w:numFmt w:val="bullet"/>
      <w:lvlText w:val="•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E668E">
      <w:start w:val="1"/>
      <w:numFmt w:val="bullet"/>
      <w:lvlText w:val="•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C793A">
      <w:start w:val="1"/>
      <w:numFmt w:val="bullet"/>
      <w:lvlText w:val="•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44930">
      <w:start w:val="1"/>
      <w:numFmt w:val="bullet"/>
      <w:lvlText w:val="•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8206E">
      <w:start w:val="1"/>
      <w:numFmt w:val="bullet"/>
      <w:lvlText w:val="•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5168">
      <w:start w:val="1"/>
      <w:numFmt w:val="bullet"/>
      <w:lvlText w:val="•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EC508">
      <w:start w:val="1"/>
      <w:numFmt w:val="bullet"/>
      <w:lvlText w:val="•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FFB"/>
    <w:rsid w:val="006A2FFB"/>
    <w:rsid w:val="009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Hyperlink1">
    <w:name w:val="Hyperlink.1"/>
    <w:basedOn w:val="None"/>
    <w:rPr>
      <w:color w:val="0000EE"/>
      <w:u w:val="single" w:color="0000EE"/>
    </w:rPr>
  </w:style>
  <w:style w:type="numbering" w:customStyle="1" w:styleId="Bullet">
    <w:name w:val="Bull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Hyperlink1">
    <w:name w:val="Hyperlink.1"/>
    <w:basedOn w:val="None"/>
    <w:rPr>
      <w:color w:val="0000EE"/>
      <w:u w:val="single" w:color="0000E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logy.com/library/detail.aspx?g=1723d7df-0bb7-46f3-9db0-a9299c36dadc" TargetMode="External"/><Relationship Id="rId2" Type="http://schemas.openxmlformats.org/officeDocument/2006/relationships/hyperlink" Target="https://ssrn.com/abstract=3083153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Macintosh Word</Application>
  <DocSecurity>0</DocSecurity>
  <Lines>17</Lines>
  <Paragraphs>4</Paragraphs>
  <ScaleCrop>false</ScaleCrop>
  <Company>SJSU School of Library and Information Science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Alman</cp:lastModifiedBy>
  <cp:revision>2</cp:revision>
  <dcterms:created xsi:type="dcterms:W3CDTF">2018-07-16T16:26:00Z</dcterms:created>
  <dcterms:modified xsi:type="dcterms:W3CDTF">2018-07-16T16:26:00Z</dcterms:modified>
</cp:coreProperties>
</file>